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858F7" w:rsidRDefault="00A41622">
      <w:pPr>
        <w:rPr>
          <w:rFonts w:ascii="Times New Roman" w:eastAsia="Times New Roman" w:hAnsi="Times New Roman" w:cs="Times New Roman"/>
          <w:b/>
          <w:color w:val="0000FF"/>
        </w:rPr>
      </w:pPr>
      <w:bookmarkStart w:id="0" w:name="_GoBack"/>
      <w:bookmarkEnd w:id="0"/>
      <w:r>
        <w:rPr>
          <w:rFonts w:ascii="Times New Roman" w:eastAsia="Times New Roman" w:hAnsi="Times New Roman" w:cs="Times New Roman"/>
          <w:b/>
          <w:color w:val="0000FF"/>
        </w:rPr>
        <w:t xml:space="preserve">Rising Juniors: Summer Reading and Response                                             </w:t>
      </w:r>
      <w:r>
        <w:rPr>
          <w:rFonts w:ascii="Times New Roman" w:eastAsia="Times New Roman" w:hAnsi="Times New Roman" w:cs="Times New Roman"/>
          <w:b/>
          <w:color w:val="0000FF"/>
        </w:rPr>
        <w:tab/>
      </w:r>
      <w:r>
        <w:rPr>
          <w:rFonts w:ascii="Times New Roman" w:eastAsia="Times New Roman" w:hAnsi="Times New Roman" w:cs="Times New Roman"/>
          <w:b/>
          <w:color w:val="0000FF"/>
        </w:rPr>
        <w:tab/>
      </w:r>
      <w:r>
        <w:rPr>
          <w:rFonts w:ascii="Times New Roman" w:eastAsia="Times New Roman" w:hAnsi="Times New Roman" w:cs="Times New Roman"/>
          <w:b/>
          <w:color w:val="0000FF"/>
        </w:rPr>
        <w:tab/>
        <w:t xml:space="preserve"> IB 11</w:t>
      </w:r>
    </w:p>
    <w:p w14:paraId="00000002" w14:textId="77777777" w:rsidR="007858F7" w:rsidRDefault="007858F7">
      <w:pPr>
        <w:rPr>
          <w:rFonts w:ascii="Times New Roman" w:eastAsia="Times New Roman" w:hAnsi="Times New Roman" w:cs="Times New Roman"/>
        </w:rPr>
      </w:pPr>
    </w:p>
    <w:p w14:paraId="00000003" w14:textId="77777777" w:rsidR="007858F7" w:rsidRDefault="00A41622">
      <w:pPr>
        <w:rPr>
          <w:rFonts w:ascii="Times New Roman" w:eastAsia="Times New Roman" w:hAnsi="Times New Roman" w:cs="Times New Roman"/>
        </w:rPr>
      </w:pPr>
      <w:r>
        <w:rPr>
          <w:rFonts w:ascii="Times New Roman" w:eastAsia="Times New Roman" w:hAnsi="Times New Roman" w:cs="Times New Roman"/>
        </w:rPr>
        <w:t xml:space="preserve">Required Reading:  </w:t>
      </w:r>
      <w:r>
        <w:rPr>
          <w:rFonts w:ascii="Times New Roman" w:eastAsia="Times New Roman" w:hAnsi="Times New Roman" w:cs="Times New Roman"/>
          <w:i/>
        </w:rPr>
        <w:t>The Handmaid’s Tale</w:t>
      </w:r>
      <w:r>
        <w:rPr>
          <w:rFonts w:ascii="Times New Roman" w:eastAsia="Times New Roman" w:hAnsi="Times New Roman" w:cs="Times New Roman"/>
        </w:rPr>
        <w:t xml:space="preserve"> by Margaret Atwood</w:t>
      </w:r>
    </w:p>
    <w:p w14:paraId="00000004" w14:textId="77777777" w:rsidR="007858F7" w:rsidRDefault="00A41622">
      <w:pPr>
        <w:rPr>
          <w:rFonts w:ascii="Times New Roman" w:eastAsia="Times New Roman" w:hAnsi="Times New Roman" w:cs="Times New Roman"/>
        </w:rPr>
      </w:pPr>
      <w:r>
        <w:rPr>
          <w:rFonts w:ascii="Times New Roman" w:eastAsia="Times New Roman" w:hAnsi="Times New Roman" w:cs="Times New Roman"/>
        </w:rPr>
        <w:tab/>
        <w:t xml:space="preserve">                   </w:t>
      </w:r>
      <w:r>
        <w:rPr>
          <w:rFonts w:ascii="Times New Roman" w:eastAsia="Times New Roman" w:hAnsi="Times New Roman" w:cs="Times New Roman"/>
          <w:i/>
        </w:rPr>
        <w:t xml:space="preserve">Persepolis </w:t>
      </w:r>
      <w:r>
        <w:rPr>
          <w:rFonts w:ascii="Times New Roman" w:eastAsia="Times New Roman" w:hAnsi="Times New Roman" w:cs="Times New Roman"/>
        </w:rPr>
        <w:t xml:space="preserve">by Marjane Satrapi (book 1) </w:t>
      </w:r>
    </w:p>
    <w:p w14:paraId="00000005" w14:textId="77777777" w:rsidR="007858F7" w:rsidRDefault="00A41622">
      <w:pPr>
        <w:rPr>
          <w:rFonts w:ascii="Times New Roman" w:eastAsia="Times New Roman" w:hAnsi="Times New Roman" w:cs="Times New Roman"/>
          <w:sz w:val="18"/>
          <w:szCs w:val="18"/>
        </w:rPr>
      </w:pPr>
      <w:r>
        <w:rPr>
          <w:rFonts w:ascii="Times New Roman" w:eastAsia="Times New Roman" w:hAnsi="Times New Roman" w:cs="Times New Roman"/>
        </w:rPr>
        <w:t xml:space="preserve">                               </w:t>
      </w:r>
      <w:r>
        <w:rPr>
          <w:rFonts w:ascii="Times New Roman" w:eastAsia="Times New Roman" w:hAnsi="Times New Roman" w:cs="Times New Roman"/>
          <w:sz w:val="18"/>
          <w:szCs w:val="18"/>
        </w:rPr>
        <w:t xml:space="preserve">*see also sample close reading handout: </w:t>
      </w:r>
      <w:r>
        <w:rPr>
          <w:rFonts w:ascii="Times New Roman" w:eastAsia="Times New Roman" w:hAnsi="Times New Roman" w:cs="Times New Roman"/>
          <w:i/>
          <w:sz w:val="18"/>
          <w:szCs w:val="18"/>
        </w:rPr>
        <w:t xml:space="preserve">What Makes Good Writing </w:t>
      </w:r>
      <w:r>
        <w:rPr>
          <w:rFonts w:ascii="Times New Roman" w:eastAsia="Times New Roman" w:hAnsi="Times New Roman" w:cs="Times New Roman"/>
          <w:sz w:val="18"/>
          <w:szCs w:val="18"/>
        </w:rPr>
        <w:t>by Christina Schwarz</w:t>
      </w:r>
    </w:p>
    <w:p w14:paraId="00000006" w14:textId="77777777" w:rsidR="007858F7" w:rsidRDefault="00A41622">
      <w:pPr>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 xml:space="preserve">     </w:t>
      </w:r>
    </w:p>
    <w:p w14:paraId="00000007" w14:textId="77777777" w:rsidR="007858F7" w:rsidRDefault="007858F7">
      <w:pPr>
        <w:rPr>
          <w:rFonts w:ascii="Times New Roman" w:eastAsia="Times New Roman" w:hAnsi="Times New Roman" w:cs="Times New Roman"/>
          <w:sz w:val="18"/>
          <w:szCs w:val="18"/>
        </w:rPr>
      </w:pPr>
    </w:p>
    <w:p w14:paraId="00000008" w14:textId="77777777" w:rsidR="007858F7" w:rsidRDefault="00A41622">
      <w:pPr>
        <w:rPr>
          <w:rFonts w:ascii="Times New Roman" w:eastAsia="Times New Roman" w:hAnsi="Times New Roman" w:cs="Times New Roman"/>
        </w:rPr>
      </w:pPr>
      <w:r>
        <w:rPr>
          <w:rFonts w:ascii="Times New Roman" w:eastAsia="Times New Roman" w:hAnsi="Times New Roman" w:cs="Times New Roman"/>
        </w:rPr>
        <w:t>Over the next two years in IB English HL you will be learning how to recognize patterns in texts and how to construct scholarly interpretations of literature. Thi</w:t>
      </w:r>
      <w:r>
        <w:rPr>
          <w:rFonts w:ascii="Times New Roman" w:eastAsia="Times New Roman" w:hAnsi="Times New Roman" w:cs="Times New Roman"/>
        </w:rPr>
        <w:t>s is a course in critical thinking, so expect to read thoroughly and come to class prepared to thoroughly discuss the reading and the connections you have discovered.</w:t>
      </w:r>
    </w:p>
    <w:p w14:paraId="00000009" w14:textId="77777777" w:rsidR="007858F7" w:rsidRDefault="007858F7">
      <w:pPr>
        <w:rPr>
          <w:rFonts w:ascii="Times New Roman" w:eastAsia="Times New Roman" w:hAnsi="Times New Roman" w:cs="Times New Roman"/>
        </w:rPr>
      </w:pPr>
    </w:p>
    <w:p w14:paraId="0000000A" w14:textId="77777777" w:rsidR="007858F7" w:rsidRDefault="00A41622">
      <w:pPr>
        <w:rPr>
          <w:rFonts w:ascii="Times New Roman" w:eastAsia="Times New Roman" w:hAnsi="Times New Roman" w:cs="Times New Roman"/>
        </w:rPr>
      </w:pPr>
      <w:r>
        <w:rPr>
          <w:rFonts w:ascii="Times New Roman" w:eastAsia="Times New Roman" w:hAnsi="Times New Roman" w:cs="Times New Roman"/>
        </w:rPr>
        <w:t>Complete steps 1-2 for</w:t>
      </w:r>
      <w:r>
        <w:rPr>
          <w:rFonts w:ascii="Times New Roman" w:eastAsia="Times New Roman" w:hAnsi="Times New Roman" w:cs="Times New Roman"/>
          <w:b/>
        </w:rPr>
        <w:t xml:space="preserve"> both books</w:t>
      </w:r>
      <w:r>
        <w:rPr>
          <w:rFonts w:ascii="Times New Roman" w:eastAsia="Times New Roman" w:hAnsi="Times New Roman" w:cs="Times New Roman"/>
        </w:rPr>
        <w:t>:</w:t>
      </w:r>
    </w:p>
    <w:p w14:paraId="0000000B" w14:textId="77777777" w:rsidR="007858F7" w:rsidRDefault="007858F7">
      <w:pPr>
        <w:rPr>
          <w:rFonts w:ascii="Times New Roman" w:eastAsia="Times New Roman" w:hAnsi="Times New Roman" w:cs="Times New Roman"/>
        </w:rPr>
      </w:pPr>
    </w:p>
    <w:p w14:paraId="0000000C" w14:textId="77777777" w:rsidR="007858F7" w:rsidRDefault="00A41622">
      <w:pPr>
        <w:numPr>
          <w:ilvl w:val="0"/>
          <w:numId w:val="1"/>
        </w:numPr>
        <w:rPr>
          <w:rFonts w:ascii="Times New Roman" w:eastAsia="Times New Roman" w:hAnsi="Times New Roman" w:cs="Times New Roman"/>
        </w:rPr>
      </w:pPr>
      <w:r>
        <w:rPr>
          <w:rFonts w:ascii="Times New Roman" w:eastAsia="Times New Roman" w:hAnsi="Times New Roman" w:cs="Times New Roman"/>
          <w:b/>
        </w:rPr>
        <w:t>Quotation base</w:t>
      </w:r>
      <w:r>
        <w:rPr>
          <w:rFonts w:ascii="Times New Roman" w:eastAsia="Times New Roman" w:hAnsi="Times New Roman" w:cs="Times New Roman"/>
        </w:rPr>
        <w:t xml:space="preserve">: Follow a theme, motif, or symbol in </w:t>
      </w:r>
      <w:r>
        <w:rPr>
          <w:rFonts w:ascii="Times New Roman" w:eastAsia="Times New Roman" w:hAnsi="Times New Roman" w:cs="Times New Roman"/>
        </w:rPr>
        <w:t xml:space="preserve">each book. Compose a thoughtful and well written thesis statement on the significance of your chosen detailed study.  Select ten excerpts(they can be 1-2 sentences long) from the novel to support your thesis. Make sure to include page numbers. </w:t>
      </w:r>
    </w:p>
    <w:p w14:paraId="0000000D" w14:textId="77777777" w:rsidR="007858F7" w:rsidRDefault="007858F7">
      <w:pPr>
        <w:rPr>
          <w:rFonts w:ascii="Times New Roman" w:eastAsia="Times New Roman" w:hAnsi="Times New Roman" w:cs="Times New Roman"/>
        </w:rPr>
      </w:pPr>
    </w:p>
    <w:p w14:paraId="0000000E" w14:textId="77777777" w:rsidR="007858F7" w:rsidRDefault="00A41622">
      <w:pPr>
        <w:numPr>
          <w:ilvl w:val="0"/>
          <w:numId w:val="1"/>
        </w:numPr>
        <w:rPr>
          <w:rFonts w:ascii="Times New Roman" w:eastAsia="Times New Roman" w:hAnsi="Times New Roman" w:cs="Times New Roman"/>
        </w:rPr>
      </w:pPr>
      <w:r>
        <w:rPr>
          <w:rFonts w:ascii="Times New Roman" w:eastAsia="Times New Roman" w:hAnsi="Times New Roman" w:cs="Times New Roman"/>
          <w:b/>
        </w:rPr>
        <w:t>Close read</w:t>
      </w:r>
      <w:r>
        <w:rPr>
          <w:rFonts w:ascii="Times New Roman" w:eastAsia="Times New Roman" w:hAnsi="Times New Roman" w:cs="Times New Roman"/>
          <w:b/>
        </w:rPr>
        <w:t>ing</w:t>
      </w:r>
      <w:r>
        <w:rPr>
          <w:rFonts w:ascii="Times New Roman" w:eastAsia="Times New Roman" w:hAnsi="Times New Roman" w:cs="Times New Roman"/>
        </w:rPr>
        <w:t xml:space="preserve">: Select your favorite passage from each novel(approximately 10-40 lines, 1 or 2 pages for </w:t>
      </w:r>
      <w:r>
        <w:rPr>
          <w:rFonts w:ascii="Times New Roman" w:eastAsia="Times New Roman" w:hAnsi="Times New Roman" w:cs="Times New Roman"/>
          <w:i/>
        </w:rPr>
        <w:t>Persepoli</w:t>
      </w:r>
      <w:r>
        <w:rPr>
          <w:rFonts w:ascii="Times New Roman" w:eastAsia="Times New Roman" w:hAnsi="Times New Roman" w:cs="Times New Roman"/>
        </w:rPr>
        <w:t>s). Type or copy the passage including the page numbers. Write a 8-10 sentence commentary on the passage. Focus on the way language is crafted and specif</w:t>
      </w:r>
      <w:r>
        <w:rPr>
          <w:rFonts w:ascii="Times New Roman" w:eastAsia="Times New Roman" w:hAnsi="Times New Roman" w:cs="Times New Roman"/>
        </w:rPr>
        <w:t xml:space="preserve">ic stylistic choices the author has made. Note meaningful patterns--grammatical, literary, rhetorical, critical or other. Avoid abstract diction and generalizations. For </w:t>
      </w:r>
      <w:r>
        <w:rPr>
          <w:rFonts w:ascii="Times New Roman" w:eastAsia="Times New Roman" w:hAnsi="Times New Roman" w:cs="Times New Roman"/>
          <w:i/>
        </w:rPr>
        <w:t>Persepolis</w:t>
      </w:r>
      <w:r>
        <w:rPr>
          <w:rFonts w:ascii="Times New Roman" w:eastAsia="Times New Roman" w:hAnsi="Times New Roman" w:cs="Times New Roman"/>
        </w:rPr>
        <w:t>, you will want to note significant details in the illustrations and panels-</w:t>
      </w:r>
      <w:r>
        <w:rPr>
          <w:rFonts w:ascii="Times New Roman" w:eastAsia="Times New Roman" w:hAnsi="Times New Roman" w:cs="Times New Roman"/>
        </w:rPr>
        <w:t>-why is one panel bigger than the others? What is the effect of the dramatic color contrasts or simple lines? What is the effect of this particular panel juxtaposition?  Do not simply list literary devices used by the writer. Do not paraphrase or summarize</w:t>
      </w:r>
      <w:r>
        <w:rPr>
          <w:rFonts w:ascii="Times New Roman" w:eastAsia="Times New Roman" w:hAnsi="Times New Roman" w:cs="Times New Roman"/>
        </w:rPr>
        <w:t xml:space="preserve"> the passage. Do not translate, explaining what the author really meant. An example close reading is attached to these directions. </w:t>
      </w:r>
    </w:p>
    <w:p w14:paraId="0000000F" w14:textId="77777777" w:rsidR="007858F7" w:rsidRDefault="007858F7">
      <w:pPr>
        <w:rPr>
          <w:rFonts w:ascii="Times New Roman" w:eastAsia="Times New Roman" w:hAnsi="Times New Roman" w:cs="Times New Roman"/>
        </w:rPr>
      </w:pPr>
    </w:p>
    <w:p w14:paraId="00000010" w14:textId="77777777" w:rsidR="007858F7" w:rsidRDefault="007858F7">
      <w:pPr>
        <w:ind w:left="720"/>
        <w:rPr>
          <w:rFonts w:ascii="Times New Roman" w:eastAsia="Times New Roman" w:hAnsi="Times New Roman" w:cs="Times New Roman"/>
        </w:rPr>
      </w:pPr>
    </w:p>
    <w:p w14:paraId="00000011" w14:textId="77777777" w:rsidR="007858F7" w:rsidRDefault="007858F7">
      <w:pPr>
        <w:rPr>
          <w:rFonts w:ascii="Times New Roman" w:eastAsia="Times New Roman" w:hAnsi="Times New Roman" w:cs="Times New Roman"/>
        </w:rPr>
      </w:pPr>
    </w:p>
    <w:p w14:paraId="00000012" w14:textId="77777777" w:rsidR="007858F7" w:rsidRDefault="00A41622">
      <w:pPr>
        <w:rPr>
          <w:rFonts w:ascii="Times New Roman" w:eastAsia="Times New Roman" w:hAnsi="Times New Roman" w:cs="Times New Roman"/>
        </w:rPr>
      </w:pPr>
      <w:r>
        <w:rPr>
          <w:rFonts w:ascii="Times New Roman" w:eastAsia="Times New Roman" w:hAnsi="Times New Roman" w:cs="Times New Roman"/>
        </w:rPr>
        <w:t xml:space="preserve">Your work is due the first day of class. Feel free to contact me at </w:t>
      </w:r>
      <w:hyperlink r:id="rId5">
        <w:r>
          <w:rPr>
            <w:rFonts w:ascii="Times New Roman" w:eastAsia="Times New Roman" w:hAnsi="Times New Roman" w:cs="Times New Roman"/>
            <w:color w:val="1155CC"/>
            <w:u w:val="single"/>
          </w:rPr>
          <w:t>lacyam@g</w:t>
        </w:r>
        <w:r>
          <w:rPr>
            <w:rFonts w:ascii="Times New Roman" w:eastAsia="Times New Roman" w:hAnsi="Times New Roman" w:cs="Times New Roman"/>
            <w:color w:val="1155CC"/>
            <w:u w:val="single"/>
          </w:rPr>
          <w:t>m.sbac.edu</w:t>
        </w:r>
      </w:hyperlink>
      <w:r>
        <w:rPr>
          <w:rFonts w:ascii="Times New Roman" w:eastAsia="Times New Roman" w:hAnsi="Times New Roman" w:cs="Times New Roman"/>
        </w:rPr>
        <w:t xml:space="preserve"> if you have any questions. I look forward to meeting you next year. </w:t>
      </w:r>
    </w:p>
    <w:p w14:paraId="00000013" w14:textId="77777777" w:rsidR="007858F7" w:rsidRDefault="007858F7">
      <w:pPr>
        <w:rPr>
          <w:rFonts w:ascii="Times New Roman" w:eastAsia="Times New Roman" w:hAnsi="Times New Roman" w:cs="Times New Roman"/>
        </w:rPr>
      </w:pPr>
    </w:p>
    <w:p w14:paraId="00000014" w14:textId="77777777" w:rsidR="007858F7" w:rsidRDefault="00A41622">
      <w:pPr>
        <w:rPr>
          <w:rFonts w:ascii="Times New Roman" w:eastAsia="Times New Roman" w:hAnsi="Times New Roman" w:cs="Times New Roman"/>
        </w:rPr>
      </w:pPr>
      <w:r>
        <w:rPr>
          <w:rFonts w:ascii="Times New Roman" w:eastAsia="Times New Roman" w:hAnsi="Times New Roman" w:cs="Times New Roman"/>
        </w:rPr>
        <w:t xml:space="preserve">Best, </w:t>
      </w:r>
    </w:p>
    <w:p w14:paraId="00000015" w14:textId="77777777" w:rsidR="007858F7" w:rsidRDefault="00A41622">
      <w:pPr>
        <w:rPr>
          <w:rFonts w:ascii="Times New Roman" w:eastAsia="Times New Roman" w:hAnsi="Times New Roman" w:cs="Times New Roman"/>
        </w:rPr>
      </w:pPr>
      <w:r>
        <w:rPr>
          <w:rFonts w:ascii="Times New Roman" w:eastAsia="Times New Roman" w:hAnsi="Times New Roman" w:cs="Times New Roman"/>
        </w:rPr>
        <w:t>Ms. Shitama</w:t>
      </w:r>
    </w:p>
    <w:p w14:paraId="00000016" w14:textId="77777777" w:rsidR="007858F7" w:rsidRDefault="007858F7">
      <w:pPr>
        <w:rPr>
          <w:rFonts w:ascii="Times New Roman" w:eastAsia="Times New Roman" w:hAnsi="Times New Roman" w:cs="Times New Roman"/>
        </w:rPr>
      </w:pPr>
    </w:p>
    <w:p w14:paraId="00000017" w14:textId="77777777" w:rsidR="007858F7" w:rsidRDefault="007858F7">
      <w:pPr>
        <w:rPr>
          <w:rFonts w:ascii="Times New Roman" w:eastAsia="Times New Roman" w:hAnsi="Times New Roman" w:cs="Times New Roman"/>
        </w:rPr>
      </w:pPr>
    </w:p>
    <w:p w14:paraId="00000018" w14:textId="77777777" w:rsidR="007858F7" w:rsidRDefault="007858F7">
      <w:pPr>
        <w:rPr>
          <w:rFonts w:ascii="Times New Roman" w:eastAsia="Times New Roman" w:hAnsi="Times New Roman" w:cs="Times New Roman"/>
        </w:rPr>
      </w:pPr>
    </w:p>
    <w:p w14:paraId="00000019" w14:textId="77777777" w:rsidR="007858F7" w:rsidRDefault="007858F7">
      <w:pPr>
        <w:pStyle w:val="Heading1"/>
        <w:keepNext w:val="0"/>
        <w:keepLines w:val="0"/>
        <w:spacing w:before="0" w:after="0" w:line="240" w:lineRule="auto"/>
        <w:rPr>
          <w:rFonts w:ascii="Times New Roman" w:eastAsia="Times New Roman" w:hAnsi="Times New Roman" w:cs="Times New Roman"/>
          <w:b/>
          <w:i/>
          <w:sz w:val="24"/>
          <w:szCs w:val="24"/>
        </w:rPr>
      </w:pPr>
      <w:bookmarkStart w:id="1" w:name="_4rkvl1lrpvj0" w:colFirst="0" w:colLast="0"/>
      <w:bookmarkEnd w:id="1"/>
    </w:p>
    <w:p w14:paraId="0000001A" w14:textId="77777777" w:rsidR="007858F7" w:rsidRDefault="007858F7"/>
    <w:p w14:paraId="0000001B" w14:textId="77777777" w:rsidR="007858F7" w:rsidRDefault="007858F7"/>
    <w:p w14:paraId="0000001C" w14:textId="77777777" w:rsidR="007858F7" w:rsidRDefault="00A41622">
      <w:pPr>
        <w:pStyle w:val="Heading1"/>
        <w:keepNext w:val="0"/>
        <w:keepLines w:val="0"/>
        <w:spacing w:before="0" w:after="0" w:line="240" w:lineRule="auto"/>
        <w:rPr>
          <w:rFonts w:ascii="Times New Roman" w:eastAsia="Times New Roman" w:hAnsi="Times New Roman" w:cs="Times New Roman"/>
          <w:b/>
          <w:i/>
          <w:sz w:val="28"/>
          <w:szCs w:val="28"/>
        </w:rPr>
      </w:pPr>
      <w:bookmarkStart w:id="2" w:name="_2tfdte12tryp" w:colFirst="0" w:colLast="0"/>
      <w:bookmarkEnd w:id="2"/>
      <w:r>
        <w:rPr>
          <w:rFonts w:ascii="Times New Roman" w:eastAsia="Times New Roman" w:hAnsi="Times New Roman" w:cs="Times New Roman"/>
          <w:b/>
          <w:i/>
          <w:sz w:val="28"/>
          <w:szCs w:val="28"/>
        </w:rPr>
        <w:t>A Close Read: What makes good writing good</w:t>
      </w:r>
    </w:p>
    <w:p w14:paraId="0000001D" w14:textId="77777777" w:rsidR="007858F7" w:rsidRDefault="00A41622">
      <w:pPr>
        <w:pStyle w:val="Heading1"/>
        <w:keepNext w:val="0"/>
        <w:keepLines w:val="0"/>
        <w:spacing w:before="0" w:after="0" w:line="240" w:lineRule="auto"/>
        <w:rPr>
          <w:rFonts w:ascii="Times New Roman" w:eastAsia="Times New Roman" w:hAnsi="Times New Roman" w:cs="Times New Roman"/>
          <w:i/>
          <w:color w:val="1155CC"/>
          <w:sz w:val="24"/>
          <w:szCs w:val="24"/>
        </w:rPr>
      </w:pPr>
      <w:bookmarkStart w:id="3" w:name="_gx97wl3gt2lg" w:colFirst="0" w:colLast="0"/>
      <w:bookmarkEnd w:id="3"/>
      <w:r>
        <w:rPr>
          <w:rFonts w:ascii="Times New Roman" w:eastAsia="Times New Roman" w:hAnsi="Times New Roman" w:cs="Times New Roman"/>
          <w:sz w:val="24"/>
          <w:szCs w:val="24"/>
        </w:rPr>
        <w:t>By</w:t>
      </w:r>
      <w:hyperlink r:id="rId6">
        <w:r>
          <w:rPr>
            <w:rFonts w:ascii="Times New Roman" w:eastAsia="Times New Roman" w:hAnsi="Times New Roman" w:cs="Times New Roman"/>
            <w:sz w:val="24"/>
            <w:szCs w:val="24"/>
          </w:rPr>
          <w:t xml:space="preserve"> </w:t>
        </w:r>
      </w:hyperlink>
      <w:hyperlink r:id="rId7">
        <w:r>
          <w:rPr>
            <w:rFonts w:ascii="Times New Roman" w:eastAsia="Times New Roman" w:hAnsi="Times New Roman" w:cs="Times New Roman"/>
            <w:color w:val="1155CC"/>
            <w:sz w:val="24"/>
            <w:szCs w:val="24"/>
            <w:u w:val="single"/>
          </w:rPr>
          <w:t>Christina Schwarz</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color w:val="1155CC"/>
          <w:sz w:val="24"/>
          <w:szCs w:val="24"/>
        </w:rPr>
        <w:t xml:space="preserve"> </w:t>
      </w:r>
      <w:r>
        <w:rPr>
          <w:rFonts w:ascii="Times New Roman" w:eastAsia="Times New Roman" w:hAnsi="Times New Roman" w:cs="Times New Roman"/>
          <w:i/>
          <w:color w:val="1155CC"/>
          <w:sz w:val="24"/>
          <w:szCs w:val="24"/>
        </w:rPr>
        <w:t xml:space="preserve">The Atlantic </w:t>
      </w:r>
    </w:p>
    <w:p w14:paraId="0000001E" w14:textId="77777777" w:rsidR="007858F7" w:rsidRDefault="007858F7">
      <w:pPr>
        <w:pStyle w:val="Heading1"/>
        <w:keepNext w:val="0"/>
        <w:keepLines w:val="0"/>
        <w:spacing w:before="0" w:after="0" w:line="240" w:lineRule="auto"/>
        <w:rPr>
          <w:rFonts w:ascii="Times New Roman" w:eastAsia="Times New Roman" w:hAnsi="Times New Roman" w:cs="Times New Roman"/>
          <w:i/>
          <w:color w:val="1155CC"/>
          <w:sz w:val="24"/>
          <w:szCs w:val="24"/>
        </w:rPr>
      </w:pPr>
      <w:bookmarkStart w:id="4" w:name="_o0cxjzmlrgwr" w:colFirst="0" w:colLast="0"/>
      <w:bookmarkEnd w:id="4"/>
    </w:p>
    <w:bookmarkStart w:id="5" w:name="_xnn8kggx80eu" w:colFirst="0" w:colLast="0"/>
    <w:bookmarkEnd w:id="5"/>
    <w:p w14:paraId="0000001F" w14:textId="77777777" w:rsidR="007858F7" w:rsidRDefault="00A41622">
      <w:pPr>
        <w:pStyle w:val="Heading1"/>
        <w:keepNext w:val="0"/>
        <w:keepLines w:val="0"/>
        <w:spacing w:before="0" w:after="0" w:line="240" w:lineRule="auto"/>
        <w:rPr>
          <w:rFonts w:ascii="Times New Roman" w:eastAsia="Times New Roman" w:hAnsi="Times New Roman" w:cs="Times New Roman"/>
          <w:sz w:val="36"/>
          <w:szCs w:val="36"/>
        </w:rPr>
      </w:pPr>
      <w:r>
        <w:fldChar w:fldCharType="begin"/>
      </w:r>
      <w:r>
        <w:instrText xml:space="preserve"> HYPERLINK "https://www.theatlantic.com/magazine/toc/2006/10/" \h </w:instrText>
      </w:r>
      <w:r>
        <w:fldChar w:fldCharType="separate"/>
      </w:r>
      <w:r>
        <w:rPr>
          <w:rFonts w:ascii="Times New Roman" w:eastAsia="Times New Roman" w:hAnsi="Times New Roman" w:cs="Times New Roman"/>
          <w:color w:val="1155CC"/>
          <w:sz w:val="20"/>
          <w:szCs w:val="20"/>
          <w:u w:val="single"/>
        </w:rPr>
        <w:t>October 2006 Issue</w:t>
      </w:r>
      <w:r>
        <w:rPr>
          <w:rFonts w:ascii="Times New Roman" w:eastAsia="Times New Roman" w:hAnsi="Times New Roman" w:cs="Times New Roman"/>
          <w:color w:val="1155CC"/>
          <w:sz w:val="20"/>
          <w:szCs w:val="20"/>
          <w:u w:val="single"/>
        </w:rPr>
        <w:fldChar w:fldCharType="end"/>
      </w:r>
      <w:r>
        <w:rPr>
          <w:rFonts w:ascii="Times New Roman" w:eastAsia="Times New Roman" w:hAnsi="Times New Roman" w:cs="Times New Roman"/>
          <w:color w:val="1155CC"/>
          <w:sz w:val="20"/>
          <w:szCs w:val="20"/>
        </w:rPr>
        <w:t xml:space="preserve">   </w:t>
      </w:r>
    </w:p>
    <w:p w14:paraId="00000020" w14:textId="77777777" w:rsidR="007858F7" w:rsidRDefault="00A41622">
      <w:pPr>
        <w:ind w:left="720" w:right="600"/>
        <w:rPr>
          <w:rFonts w:ascii="Times New Roman" w:eastAsia="Times New Roman" w:hAnsi="Times New Roman" w:cs="Times New Roman"/>
          <w:i/>
          <w:sz w:val="20"/>
          <w:szCs w:val="20"/>
        </w:rPr>
      </w:pPr>
      <w:r>
        <w:rPr>
          <w:rFonts w:ascii="Times New Roman" w:eastAsia="Times New Roman" w:hAnsi="Times New Roman" w:cs="Times New Roman"/>
          <w:i/>
          <w:sz w:val="20"/>
          <w:szCs w:val="20"/>
        </w:rPr>
        <w:t>It was clear that his sense of his own worth had ballooned since they had seen him last. His movements were slower and more rounded, and there was a new quality of ripeness in his way of speaking, as if he were listening to himself through headphones. He w</w:t>
      </w:r>
      <w:r>
        <w:rPr>
          <w:rFonts w:ascii="Times New Roman" w:eastAsia="Times New Roman" w:hAnsi="Times New Roman" w:cs="Times New Roman"/>
          <w:i/>
          <w:sz w:val="20"/>
          <w:szCs w:val="20"/>
        </w:rPr>
        <w:t>as trying on the part of the distinguished man.                                           —from Breakable You, by Brian Morton (Harcourt)</w:t>
      </w:r>
    </w:p>
    <w:p w14:paraId="00000021" w14:textId="77777777" w:rsidR="007858F7" w:rsidRDefault="00A41622">
      <w:pPr>
        <w:spacing w:before="240" w:after="240"/>
        <w:rPr>
          <w:rFonts w:ascii="Times New Roman" w:eastAsia="Times New Roman" w:hAnsi="Times New Roman" w:cs="Times New Roman"/>
          <w:sz w:val="20"/>
          <w:szCs w:val="20"/>
        </w:rPr>
      </w:pPr>
      <w:r>
        <w:rPr>
          <w:rFonts w:ascii="Times New Roman" w:eastAsia="Times New Roman" w:hAnsi="Times New Roman" w:cs="Times New Roman"/>
        </w:rPr>
        <w:t>Morton, like the character from whose point of view this passage is written, recognizes that meaning is expressed most</w:t>
      </w:r>
      <w:r>
        <w:rPr>
          <w:rFonts w:ascii="Times New Roman" w:eastAsia="Times New Roman" w:hAnsi="Times New Roman" w:cs="Times New Roman"/>
        </w:rPr>
        <w:t xml:space="preserve">ly through subtleties—choice of words, tone of voice, posture— rather than grand speeches and gestures. The verb </w:t>
      </w:r>
      <w:r>
        <w:rPr>
          <w:rFonts w:ascii="Times New Roman" w:eastAsia="Times New Roman" w:hAnsi="Times New Roman" w:cs="Times New Roman"/>
          <w:i/>
        </w:rPr>
        <w:t>ballooned</w:t>
      </w:r>
      <w:r>
        <w:rPr>
          <w:rFonts w:ascii="Times New Roman" w:eastAsia="Times New Roman" w:hAnsi="Times New Roman" w:cs="Times New Roman"/>
        </w:rPr>
        <w:t xml:space="preserve"> is inspired, suggesting, as it does, puffed-up-ness and hot air; after all, it’s not the man’s worth that has expanded, but merely hi</w:t>
      </w:r>
      <w:r>
        <w:rPr>
          <w:rFonts w:ascii="Times New Roman" w:eastAsia="Times New Roman" w:hAnsi="Times New Roman" w:cs="Times New Roman"/>
        </w:rPr>
        <w:t xml:space="preserve">s sense of that worth (at least in the eyes of his observer). Morton milks significance from the finest of perceptions: the “slower,” “rounded” movements and the “ripeness” of speech. </w:t>
      </w:r>
      <w:r>
        <w:rPr>
          <w:rFonts w:ascii="Times New Roman" w:eastAsia="Times New Roman" w:hAnsi="Times New Roman" w:cs="Times New Roman"/>
          <w:i/>
        </w:rPr>
        <w:t>Rounded</w:t>
      </w:r>
      <w:r>
        <w:rPr>
          <w:rFonts w:ascii="Times New Roman" w:eastAsia="Times New Roman" w:hAnsi="Times New Roman" w:cs="Times New Roman"/>
        </w:rPr>
        <w:t xml:space="preserve"> is also visually linked to </w:t>
      </w:r>
      <w:r>
        <w:rPr>
          <w:rFonts w:ascii="Times New Roman" w:eastAsia="Times New Roman" w:hAnsi="Times New Roman" w:cs="Times New Roman"/>
          <w:i/>
        </w:rPr>
        <w:t>ballooned</w:t>
      </w:r>
      <w:r>
        <w:rPr>
          <w:rFonts w:ascii="Times New Roman" w:eastAsia="Times New Roman" w:hAnsi="Times New Roman" w:cs="Times New Roman"/>
        </w:rPr>
        <w:t xml:space="preserve"> and aurally, through allite</w:t>
      </w:r>
      <w:r>
        <w:rPr>
          <w:rFonts w:ascii="Times New Roman" w:eastAsia="Times New Roman" w:hAnsi="Times New Roman" w:cs="Times New Roman"/>
        </w:rPr>
        <w:t xml:space="preserve">ration, to </w:t>
      </w:r>
      <w:r>
        <w:rPr>
          <w:rFonts w:ascii="Times New Roman" w:eastAsia="Times New Roman" w:hAnsi="Times New Roman" w:cs="Times New Roman"/>
          <w:i/>
        </w:rPr>
        <w:t>ripeness</w:t>
      </w:r>
      <w:r>
        <w:rPr>
          <w:rFonts w:ascii="Times New Roman" w:eastAsia="Times New Roman" w:hAnsi="Times New Roman" w:cs="Times New Roman"/>
        </w:rPr>
        <w:t>, so the general observation of the first sentence and the specific details that follow work gracefully together, beyond the level of meaning. Morton is especially skilled with subtle humor: the image of someone “listening to himself thr</w:t>
      </w:r>
      <w:r>
        <w:rPr>
          <w:rFonts w:ascii="Times New Roman" w:eastAsia="Times New Roman" w:hAnsi="Times New Roman" w:cs="Times New Roman"/>
        </w:rPr>
        <w:t>ough headphones” nails the ridiculous pomposity of a man who is not distinguished, but is merely “trying on the part</w:t>
      </w:r>
      <w:r>
        <w:rPr>
          <w:rFonts w:ascii="Times New Roman" w:eastAsia="Times New Roman" w:hAnsi="Times New Roman" w:cs="Times New Roman"/>
          <w:sz w:val="20"/>
          <w:szCs w:val="20"/>
        </w:rPr>
        <w:t>.</w:t>
      </w:r>
    </w:p>
    <w:p w14:paraId="00000022" w14:textId="77777777" w:rsidR="007858F7" w:rsidRDefault="00A41622">
      <w:pPr>
        <w:rPr>
          <w:rFonts w:ascii="Times New Roman" w:eastAsia="Times New Roman" w:hAnsi="Times New Roman" w:cs="Times New Roman"/>
          <w:color w:val="1155CC"/>
          <w:sz w:val="20"/>
          <w:szCs w:val="20"/>
          <w:u w:val="single"/>
        </w:rPr>
      </w:pPr>
      <w:hyperlink r:id="rId8">
        <w:r>
          <w:rPr>
            <w:rFonts w:ascii="Times New Roman" w:eastAsia="Times New Roman" w:hAnsi="Times New Roman" w:cs="Times New Roman"/>
            <w:color w:val="1155CC"/>
            <w:sz w:val="20"/>
            <w:szCs w:val="20"/>
            <w:u w:val="single"/>
          </w:rPr>
          <w:t>July/August 2006 Issue</w:t>
        </w:r>
      </w:hyperlink>
    </w:p>
    <w:p w14:paraId="00000023" w14:textId="77777777" w:rsidR="007858F7" w:rsidRDefault="00A41622">
      <w:pPr>
        <w:ind w:left="600" w:right="600"/>
        <w:rPr>
          <w:rFonts w:ascii="Times New Roman" w:eastAsia="Times New Roman" w:hAnsi="Times New Roman" w:cs="Times New Roman"/>
          <w:i/>
          <w:sz w:val="20"/>
          <w:szCs w:val="20"/>
        </w:rPr>
      </w:pPr>
      <w:r>
        <w:rPr>
          <w:rFonts w:ascii="Times New Roman" w:eastAsia="Times New Roman" w:hAnsi="Times New Roman" w:cs="Times New Roman"/>
          <w:i/>
          <w:sz w:val="20"/>
          <w:szCs w:val="20"/>
        </w:rPr>
        <w:t>“She brought the coffee, in delicate white chi</w:t>
      </w:r>
      <w:r>
        <w:rPr>
          <w:rFonts w:ascii="Times New Roman" w:eastAsia="Times New Roman" w:hAnsi="Times New Roman" w:cs="Times New Roman"/>
          <w:i/>
          <w:sz w:val="20"/>
          <w:szCs w:val="20"/>
        </w:rPr>
        <w:t>na cups, on a black lacquered tray, which she set on the table before the couch. They sipped the coffee and talked strainedly for a few moments. Then Stoner spoke of the part of the manuscript he had read, and the excitement he had felt earlier, in the lib</w:t>
      </w:r>
      <w:r>
        <w:rPr>
          <w:rFonts w:ascii="Times New Roman" w:eastAsia="Times New Roman" w:hAnsi="Times New Roman" w:cs="Times New Roman"/>
          <w:i/>
          <w:sz w:val="20"/>
          <w:szCs w:val="20"/>
        </w:rPr>
        <w:t>rary, came over him; he leaned forward, speaking intensely.</w:t>
      </w:r>
    </w:p>
    <w:p w14:paraId="00000024" w14:textId="77777777" w:rsidR="007858F7" w:rsidRDefault="007858F7">
      <w:pPr>
        <w:ind w:left="600" w:right="600"/>
        <w:rPr>
          <w:rFonts w:ascii="Times New Roman" w:eastAsia="Times New Roman" w:hAnsi="Times New Roman" w:cs="Times New Roman"/>
          <w:i/>
          <w:sz w:val="20"/>
          <w:szCs w:val="20"/>
        </w:rPr>
      </w:pPr>
    </w:p>
    <w:p w14:paraId="00000025" w14:textId="77777777" w:rsidR="007858F7" w:rsidRDefault="00A41622">
      <w:pPr>
        <w:ind w:left="600" w:right="600"/>
        <w:rPr>
          <w:rFonts w:ascii="Times New Roman" w:eastAsia="Times New Roman" w:hAnsi="Times New Roman" w:cs="Times New Roman"/>
          <w:i/>
          <w:sz w:val="20"/>
          <w:szCs w:val="20"/>
        </w:rPr>
      </w:pPr>
      <w:r>
        <w:rPr>
          <w:rFonts w:ascii="Times New Roman" w:eastAsia="Times New Roman" w:hAnsi="Times New Roman" w:cs="Times New Roman"/>
          <w:i/>
          <w:sz w:val="20"/>
          <w:szCs w:val="20"/>
        </w:rPr>
        <w:t>For many minutes the two of them were able to talk together unselfconsciously, hiding themselves under the cover of their discourse.”                                  —from Stoner, by John Willia</w:t>
      </w:r>
      <w:r>
        <w:rPr>
          <w:rFonts w:ascii="Times New Roman" w:eastAsia="Times New Roman" w:hAnsi="Times New Roman" w:cs="Times New Roman"/>
          <w:i/>
          <w:sz w:val="20"/>
          <w:szCs w:val="20"/>
        </w:rPr>
        <w:t>ms (NYRB)</w:t>
      </w:r>
    </w:p>
    <w:p w14:paraId="00000026" w14:textId="77777777" w:rsidR="007858F7" w:rsidRDefault="00A41622">
      <w:pPr>
        <w:spacing w:before="240" w:after="240"/>
        <w:rPr>
          <w:rFonts w:ascii="Times New Roman" w:eastAsia="Times New Roman" w:hAnsi="Times New Roman" w:cs="Times New Roman"/>
        </w:rPr>
      </w:pPr>
      <w:r>
        <w:rPr>
          <w:rFonts w:ascii="Times New Roman" w:eastAsia="Times New Roman" w:hAnsi="Times New Roman" w:cs="Times New Roman"/>
        </w:rPr>
        <w:t>The first two sentences in this passage (from a 1965 novel long out of print, and just reissued) enhance the sense of unease between the characters—especially the first sentence, chopped as it is into four distinct phrases, each of about equal we</w:t>
      </w:r>
      <w:r>
        <w:rPr>
          <w:rFonts w:ascii="Times New Roman" w:eastAsia="Times New Roman" w:hAnsi="Times New Roman" w:cs="Times New Roman"/>
        </w:rPr>
        <w:t xml:space="preserve">ight. The vivid detail of the delicate white china and the black lacquer draw attention to each separate description, emphasizing the stiltedness. The second sentence flows smoothly but contains the wonderfully effortful word </w:t>
      </w:r>
      <w:r>
        <w:rPr>
          <w:rFonts w:ascii="Times New Roman" w:eastAsia="Times New Roman" w:hAnsi="Times New Roman" w:cs="Times New Roman"/>
          <w:i/>
        </w:rPr>
        <w:t>strainedly</w:t>
      </w:r>
      <w:r>
        <w:rPr>
          <w:rFonts w:ascii="Times New Roman" w:eastAsia="Times New Roman" w:hAnsi="Times New Roman" w:cs="Times New Roman"/>
        </w:rPr>
        <w:t>. The structure of the last two sentences suggests the characters’ connection and the beginnings of some complications they then experience. As Stoner’s excitement builds, his actions are linked with a semicolon rather than cut apart with a period. Here ar</w:t>
      </w:r>
      <w:r>
        <w:rPr>
          <w:rFonts w:ascii="Times New Roman" w:eastAsia="Times New Roman" w:hAnsi="Times New Roman" w:cs="Times New Roman"/>
        </w:rPr>
        <w:t>e participles—</w:t>
      </w:r>
      <w:r>
        <w:rPr>
          <w:rFonts w:ascii="Times New Roman" w:eastAsia="Times New Roman" w:hAnsi="Times New Roman" w:cs="Times New Roman"/>
          <w:i/>
        </w:rPr>
        <w:t>speaking</w:t>
      </w:r>
      <w:r>
        <w:rPr>
          <w:rFonts w:ascii="Times New Roman" w:eastAsia="Times New Roman" w:hAnsi="Times New Roman" w:cs="Times New Roman"/>
        </w:rPr>
        <w:t xml:space="preserve"> and </w:t>
      </w:r>
      <w:r>
        <w:rPr>
          <w:rFonts w:ascii="Times New Roman" w:eastAsia="Times New Roman" w:hAnsi="Times New Roman" w:cs="Times New Roman"/>
          <w:i/>
        </w:rPr>
        <w:t>hiding</w:t>
      </w:r>
      <w:r>
        <w:rPr>
          <w:rFonts w:ascii="Times New Roman" w:eastAsia="Times New Roman" w:hAnsi="Times New Roman" w:cs="Times New Roman"/>
        </w:rPr>
        <w:t xml:space="preserve">—rather than the simple past tense of these verbs, which, to remain consistent with the overall style, would have had to be set apart with an </w:t>
      </w:r>
      <w:r>
        <w:rPr>
          <w:rFonts w:ascii="Times New Roman" w:eastAsia="Times New Roman" w:hAnsi="Times New Roman" w:cs="Times New Roman"/>
          <w:i/>
        </w:rPr>
        <w:t>and</w:t>
      </w:r>
      <w:r>
        <w:rPr>
          <w:rFonts w:ascii="Times New Roman" w:eastAsia="Times New Roman" w:hAnsi="Times New Roman" w:cs="Times New Roman"/>
        </w:rPr>
        <w:t xml:space="preserve"> (“he leaned forward and</w:t>
      </w:r>
      <w:r>
        <w:rPr>
          <w:rFonts w:ascii="Times New Roman" w:eastAsia="Times New Roman" w:hAnsi="Times New Roman" w:cs="Times New Roman"/>
          <w:i/>
        </w:rPr>
        <w:t xml:space="preserve"> </w:t>
      </w:r>
      <w:r>
        <w:rPr>
          <w:rFonts w:ascii="Times New Roman" w:eastAsia="Times New Roman" w:hAnsi="Times New Roman" w:cs="Times New Roman"/>
        </w:rPr>
        <w:t>spoke intensely”). There is a suggestion here of forc</w:t>
      </w:r>
      <w:r>
        <w:rPr>
          <w:rFonts w:ascii="Times New Roman" w:eastAsia="Times New Roman" w:hAnsi="Times New Roman" w:cs="Times New Roman"/>
        </w:rPr>
        <w:t>es beyond the characters’ control: Stoner doesn’t get excited; the excitement “came over him.” And the two don’t just talk; they are “able to talk—a reminder that something had to be overcome first. Williams, whose writing style is strikingly plain, finall</w:t>
      </w:r>
      <w:r>
        <w:rPr>
          <w:rFonts w:ascii="Times New Roman" w:eastAsia="Times New Roman" w:hAnsi="Times New Roman" w:cs="Times New Roman"/>
        </w:rPr>
        <w:t xml:space="preserve">y employs a rare and lovely metaphor—“hiding themselves under the cover of their discourse”—precisely when it’s most necessary: to communicate a sensation that might shrivel in the light of straightforward expression.  </w:t>
      </w:r>
    </w:p>
    <w:p w14:paraId="00000027" w14:textId="77777777" w:rsidR="007858F7" w:rsidRDefault="007858F7">
      <w:pPr>
        <w:rPr>
          <w:rFonts w:ascii="Times New Roman" w:eastAsia="Times New Roman" w:hAnsi="Times New Roman" w:cs="Times New Roman"/>
        </w:rPr>
      </w:pPr>
    </w:p>
    <w:sectPr w:rsidR="007858F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C106E"/>
    <w:multiLevelType w:val="multilevel"/>
    <w:tmpl w:val="1234C1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8F7"/>
    <w:rsid w:val="007858F7"/>
    <w:rsid w:val="00A41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A0DDFD-CE12-4906-9F63-4F26A4AAC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theatlantic.com/magazine/toc/2006/07/" TargetMode="External"/><Relationship Id="rId3" Type="http://schemas.openxmlformats.org/officeDocument/2006/relationships/settings" Target="settings.xml"/><Relationship Id="rId7" Type="http://schemas.openxmlformats.org/officeDocument/2006/relationships/hyperlink" Target="https://www.theatlantic.com/author/christina-schwar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atlantic.com/author/christina-schwarz/" TargetMode="External"/><Relationship Id="rId5" Type="http://schemas.openxmlformats.org/officeDocument/2006/relationships/hyperlink" Target="mailto:lacyam@gm.sbac.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 LACY</dc:creator>
  <cp:lastModifiedBy>Amanda M. Lacy</cp:lastModifiedBy>
  <cp:revision>2</cp:revision>
  <dcterms:created xsi:type="dcterms:W3CDTF">2024-05-06T13:46:00Z</dcterms:created>
  <dcterms:modified xsi:type="dcterms:W3CDTF">2024-05-06T13:46:00Z</dcterms:modified>
</cp:coreProperties>
</file>